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8" w:lineRule="exact"/>
        <w:rPr>
          <w:rFonts w:hint="eastAsia" w:ascii="黑体" w:eastAsia="黑体"/>
          <w:sz w:val="32"/>
        </w:rPr>
      </w:pPr>
      <w:bookmarkStart w:id="0" w:name="_GoBack"/>
      <w:bookmarkEnd w:id="0"/>
    </w:p>
    <w:p>
      <w:pPr>
        <w:spacing w:line="588" w:lineRule="exact"/>
        <w:rPr>
          <w:rFonts w:hint="eastAsia" w:ascii="仿宋_GB2312" w:eastAsia="仿宋_GB2312"/>
          <w:sz w:val="32"/>
        </w:rPr>
      </w:pPr>
    </w:p>
    <w:p>
      <w:pPr>
        <w:spacing w:line="588" w:lineRule="exact"/>
        <w:rPr>
          <w:rFonts w:hint="eastAsia" w:ascii="仿宋_GB2312" w:eastAsia="仿宋_GB2312"/>
          <w:sz w:val="32"/>
        </w:rPr>
      </w:pPr>
    </w:p>
    <w:p>
      <w:pPr>
        <w:spacing w:line="588" w:lineRule="exact"/>
        <w:rPr>
          <w:rFonts w:hint="eastAsia" w:ascii="仿宋_GB2312" w:eastAsia="仿宋_GB2312"/>
          <w:sz w:val="32"/>
        </w:rPr>
      </w:pPr>
    </w:p>
    <w:p>
      <w:pPr>
        <w:spacing w:line="588" w:lineRule="exact"/>
        <w:rPr>
          <w:rFonts w:hint="eastAsia" w:ascii="仿宋_GB2312" w:eastAsia="仿宋_GB2312"/>
          <w:sz w:val="32"/>
        </w:rPr>
      </w:pPr>
    </w:p>
    <w:p>
      <w:pPr>
        <w:spacing w:line="588" w:lineRule="exact"/>
        <w:rPr>
          <w:rFonts w:hint="eastAsia" w:ascii="仿宋_GB2312" w:eastAsia="仿宋_GB2312"/>
          <w:sz w:val="32"/>
        </w:rPr>
      </w:pPr>
    </w:p>
    <w:p>
      <w:pPr>
        <w:spacing w:line="560" w:lineRule="exact"/>
        <w:rPr>
          <w:rFonts w:hint="eastAsia" w:ascii="仿宋_GB2312" w:eastAsia="仿宋_GB2312"/>
          <w:sz w:val="32"/>
        </w:rPr>
      </w:pPr>
    </w:p>
    <w:p>
      <w:pPr>
        <w:spacing w:line="590" w:lineRule="exact"/>
        <w:jc w:val="center"/>
        <w:rPr>
          <w:rFonts w:hint="eastAsia" w:ascii="仿宋_GB2312" w:eastAsia="仿宋_GB2312"/>
          <w:sz w:val="32"/>
        </w:rPr>
      </w:pPr>
      <w:r>
        <w:rPr>
          <w:rFonts w:ascii="仿宋_GB2312" w:eastAsia="仿宋_GB2312"/>
          <w:sz w:val="32"/>
          <w:lang/>
        </w:rPr>
        <w:pict>
          <v:line id="_x0000_s1028" o:spid="_x0000_s1028" o:spt="20" style="position:absolute;left:0pt;margin-top:346.7pt;height:0pt;width:442.2pt;mso-position-horizontal:right;mso-position-vertical-relative:page;z-index:251658240;mso-width-relative:page;mso-height-relative:page;" filled="f" stroked="t" coordsize="21600,21600" o:allowoverlap="f">
            <v:path arrowok="t"/>
            <v:fill on="f" focussize="0,0"/>
            <v:stroke weight="2.5pt" color="#FF0000"/>
            <v:imagedata o:title=""/>
            <o:lock v:ext="edit"/>
            <w10:anchorlock/>
          </v:line>
        </w:pict>
      </w:r>
      <w:r>
        <w:rPr>
          <w:rFonts w:ascii="仿宋_GB2312" w:eastAsia="仿宋_GB2312"/>
          <w:sz w:val="32"/>
          <w:lang/>
        </w:rPr>
        <w:pict>
          <v:shape id="_x0000_s1029" o:spid="_x0000_s1029" o:spt="136" type="#_x0000_t136" style="position:absolute;left:0pt;margin-left:45pt;margin-top:206.3pt;height:68.05pt;width:362.25pt;mso-position-vertical-relative:page;z-index:251659264;mso-width-relative:page;mso-height-relative:page;" fillcolor="#FF0000" filled="t" stroked="f" coordsize="21600,21600" o:allowoverlap="f">
            <v:path/>
            <v:fill on="t" focussize="0,0"/>
            <v:stroke on="f" color="#FF0000"/>
            <v:imagedata o:title=""/>
            <o:lock v:ext="edit"/>
            <v:textpath on="t" fitshape="t" fitpath="t" trim="t" xscale="f" string="暨 南 大 学 文 件" style="font-family:小标宋;font-size:36pt;v-rotate-letters:f;v-same-letter-heights:f;v-text-align:center;v-text-spacing:81920f;"/>
            <w10:anchorlock/>
          </v:shape>
        </w:pict>
      </w:r>
      <w:r>
        <w:rPr>
          <w:rFonts w:hint="eastAsia" w:ascii="仿宋_GB2312" w:eastAsia="仿宋_GB2312"/>
          <w:sz w:val="32"/>
        </w:rPr>
        <w:t>暨财〔2017〕</w:t>
      </w:r>
      <w:r>
        <w:rPr>
          <w:rFonts w:ascii="仿宋_GB2312" w:eastAsia="仿宋_GB2312"/>
          <w:sz w:val="32"/>
        </w:rPr>
        <w:t>1</w:t>
      </w:r>
      <w:r>
        <w:rPr>
          <w:rFonts w:hint="eastAsia" w:ascii="仿宋_GB2312" w:eastAsia="仿宋_GB2312"/>
          <w:sz w:val="32"/>
        </w:rPr>
        <w:t>号</w:t>
      </w:r>
    </w:p>
    <w:p>
      <w:pPr>
        <w:spacing w:line="540" w:lineRule="exact"/>
        <w:rPr>
          <w:rFonts w:hint="eastAsia" w:ascii="仿宋_GB2312" w:eastAsia="仿宋_GB2312"/>
          <w:sz w:val="32"/>
        </w:rPr>
      </w:pPr>
    </w:p>
    <w:p>
      <w:pPr>
        <w:spacing w:line="540" w:lineRule="exact"/>
        <w:rPr>
          <w:rFonts w:hint="eastAsia" w:ascii="仿宋_GB2312" w:eastAsia="仿宋_GB2312"/>
          <w:sz w:val="32"/>
        </w:rPr>
      </w:pPr>
    </w:p>
    <w:p>
      <w:pPr>
        <w:adjustRightInd w:val="0"/>
        <w:snapToGrid w:val="0"/>
        <w:spacing w:line="640" w:lineRule="exact"/>
        <w:jc w:val="center"/>
        <w:rPr>
          <w:rFonts w:hint="eastAsia" w:ascii="小标宋" w:eastAsia="小标宋"/>
          <w:sz w:val="44"/>
          <w:szCs w:val="44"/>
        </w:rPr>
      </w:pPr>
      <w:r>
        <w:rPr>
          <w:rFonts w:hint="eastAsia" w:ascii="小标宋" w:eastAsia="小标宋"/>
          <w:spacing w:val="-8"/>
          <w:sz w:val="44"/>
          <w:szCs w:val="44"/>
        </w:rPr>
        <w:t>暨南大学关于印发《暨南大学科研项目间接费用</w:t>
      </w:r>
      <w:r>
        <w:rPr>
          <w:rFonts w:hint="eastAsia" w:ascii="小标宋" w:eastAsia="小标宋"/>
          <w:sz w:val="44"/>
          <w:szCs w:val="44"/>
        </w:rPr>
        <w:t>管理办法（修订）》的通知</w:t>
      </w:r>
    </w:p>
    <w:p>
      <w:pPr>
        <w:adjustRightInd w:val="0"/>
        <w:snapToGrid w:val="0"/>
        <w:spacing w:line="590" w:lineRule="exact"/>
        <w:rPr>
          <w:rFonts w:hint="eastAsia" w:ascii="仿宋_GB2312"/>
        </w:rPr>
      </w:pPr>
    </w:p>
    <w:p>
      <w:pPr>
        <w:adjustRightInd w:val="0"/>
        <w:snapToGrid w:val="0"/>
        <w:spacing w:line="590" w:lineRule="exact"/>
        <w:rPr>
          <w:rFonts w:hint="eastAsia" w:ascii="仿宋_GB2312" w:eastAsia="仿宋_GB2312"/>
          <w:sz w:val="32"/>
          <w:szCs w:val="32"/>
        </w:rPr>
      </w:pPr>
      <w:r>
        <w:rPr>
          <w:rFonts w:hint="eastAsia" w:ascii="仿宋_GB2312" w:eastAsia="仿宋_GB2312"/>
          <w:sz w:val="32"/>
          <w:szCs w:val="32"/>
        </w:rPr>
        <w:t>校机关各部、处、院、室、中心，各直属单位，各学院，各校区管理委员会：</w:t>
      </w:r>
    </w:p>
    <w:p>
      <w:pPr>
        <w:adjustRightInd w:val="0"/>
        <w:snapToGrid w:val="0"/>
        <w:spacing w:line="590" w:lineRule="exact"/>
        <w:ind w:firstLine="640" w:firstLineChars="200"/>
        <w:rPr>
          <w:rFonts w:hint="eastAsia" w:ascii="仿宋_GB2312" w:hAnsi="宋体" w:eastAsia="仿宋_GB2312"/>
          <w:sz w:val="32"/>
          <w:szCs w:val="32"/>
        </w:rPr>
      </w:pPr>
      <w:r>
        <w:rPr>
          <w:rFonts w:hint="eastAsia" w:ascii="仿宋_GB2312" w:eastAsia="仿宋_GB2312"/>
          <w:sz w:val="32"/>
          <w:szCs w:val="32"/>
          <w:lang/>
        </w:rPr>
        <w:pict>
          <v:shape id="_x0000_s1036" o:spid="_x0000_s1036" o:spt="75" alt="DBSTEP_MARK&#13;&#10;FILENAME=1484533219710.doc&#13;&#10;MARKNAME=暨南大学&#13;&#10;USERNAME=胡章瑛&#13;&#10;DATETIME=2017-03-01 17:33:54&#13;&#10;MARKGUID={C83D3318-75DA-4668-87D6-61CE53DC20A4}" type="#_x0000_t75" style="position:absolute;left:0pt;margin-left:39.75pt;margin-top:50pt;height:143pt;width:352pt;z-index:-251654144;mso-width-relative:page;mso-height-relative:page;" filled="f" stroked="f" coordsize="21600,21600">
            <v:path/>
            <v:fill on="f" focussize="0,0"/>
            <v:stroke on="f"/>
            <v:imagedata r:id="rId6" chromakey="#FFFFFF" o:title="Signature"/>
            <o:lock v:ext="edit" aspectratio="t"/>
          </v:shape>
        </w:pict>
      </w:r>
      <w:r>
        <w:rPr>
          <w:rFonts w:hint="eastAsia" w:ascii="仿宋_GB2312" w:eastAsia="仿宋_GB2312"/>
          <w:sz w:val="32"/>
          <w:szCs w:val="32"/>
        </w:rPr>
        <w:t>现将</w:t>
      </w:r>
      <w:r>
        <w:rPr>
          <w:rFonts w:hint="eastAsia" w:ascii="仿宋_GB2312" w:hAnsi="宋体" w:eastAsia="仿宋_GB2312"/>
          <w:sz w:val="32"/>
          <w:szCs w:val="32"/>
        </w:rPr>
        <w:t>《暨南大学科研项目间接费用管理办法（修订）》印发给你们，请遵照执行。</w:t>
      </w:r>
    </w:p>
    <w:p>
      <w:pPr>
        <w:adjustRightInd w:val="0"/>
        <w:snapToGrid w:val="0"/>
        <w:spacing w:line="640" w:lineRule="exact"/>
        <w:rPr>
          <w:rFonts w:hint="eastAsia" w:ascii="仿宋_GB2312" w:eastAsia="仿宋_GB2312"/>
          <w:sz w:val="32"/>
          <w:szCs w:val="32"/>
        </w:rPr>
      </w:pPr>
    </w:p>
    <w:p>
      <w:pPr>
        <w:adjustRightInd w:val="0"/>
        <w:snapToGrid w:val="0"/>
        <w:spacing w:line="640" w:lineRule="exact"/>
        <w:rPr>
          <w:rFonts w:hint="eastAsia" w:ascii="仿宋_GB2312" w:eastAsia="仿宋_GB2312"/>
          <w:sz w:val="32"/>
          <w:szCs w:val="32"/>
        </w:rPr>
      </w:pPr>
    </w:p>
    <w:p>
      <w:pPr>
        <w:adjustRightInd w:val="0"/>
        <w:snapToGrid w:val="0"/>
        <w:spacing w:line="590" w:lineRule="exact"/>
        <w:ind w:firstLine="5600" w:firstLineChars="1750"/>
        <w:rPr>
          <w:rFonts w:hint="eastAsia" w:ascii="仿宋_GB2312" w:eastAsia="仿宋_GB2312"/>
          <w:sz w:val="32"/>
          <w:szCs w:val="32"/>
        </w:rPr>
      </w:pPr>
      <w:r>
        <w:rPr>
          <w:rFonts w:hint="eastAsia" w:ascii="仿宋_GB2312" w:eastAsia="仿宋_GB2312"/>
          <w:sz w:val="32"/>
          <w:szCs w:val="32"/>
        </w:rPr>
        <w:t>暨 南 大 学</w:t>
      </w:r>
    </w:p>
    <w:p>
      <w:pPr>
        <w:adjustRightInd w:val="0"/>
        <w:snapToGrid w:val="0"/>
        <w:spacing w:line="590" w:lineRule="exact"/>
        <w:ind w:right="1260" w:rightChars="600"/>
        <w:jc w:val="right"/>
        <w:rPr>
          <w:rFonts w:hint="eastAsia" w:ascii="仿宋_GB2312" w:eastAsia="仿宋_GB2312"/>
          <w:sz w:val="32"/>
          <w:szCs w:val="32"/>
        </w:rPr>
      </w:pPr>
      <w:r>
        <w:rPr>
          <w:rFonts w:hint="eastAsia" w:ascii="仿宋_GB2312" w:eastAsia="仿宋_GB2312"/>
          <w:sz w:val="32"/>
          <w:szCs w:val="32"/>
        </w:rPr>
        <w:t xml:space="preserve">                                2017年2月27日</w:t>
      </w:r>
    </w:p>
    <w:p>
      <w:pPr>
        <w:adjustRightInd w:val="0"/>
        <w:snapToGrid w:val="0"/>
        <w:spacing w:line="560" w:lineRule="exact"/>
        <w:rPr>
          <w:rFonts w:ascii="仿宋_GB2312" w:eastAsia="仿宋_GB2312"/>
          <w:b/>
          <w:sz w:val="32"/>
          <w:szCs w:val="32"/>
        </w:rPr>
        <w:sectPr>
          <w:footerReference r:id="rId3" w:type="default"/>
          <w:footerReference r:id="rId4" w:type="even"/>
          <w:pgSz w:w="11906" w:h="16838"/>
          <w:pgMar w:top="2098" w:right="1474" w:bottom="1871" w:left="1474" w:header="0" w:footer="1418" w:gutter="0"/>
          <w:cols w:space="425" w:num="1"/>
          <w:docGrid w:linePitch="312" w:charSpace="0"/>
        </w:sectPr>
      </w:pPr>
    </w:p>
    <w:p>
      <w:pPr>
        <w:jc w:val="center"/>
        <w:rPr>
          <w:rFonts w:hint="eastAsia" w:ascii="小标宋" w:hAnsi="黑体" w:eastAsia="小标宋" w:cs="方正大标宋简体"/>
          <w:sz w:val="44"/>
          <w:szCs w:val="44"/>
        </w:rPr>
      </w:pPr>
      <w:r>
        <w:rPr>
          <w:rFonts w:hint="eastAsia" w:ascii="小标宋" w:hAnsi="黑体" w:eastAsia="小标宋" w:cs="方正大标宋简体"/>
          <w:sz w:val="44"/>
          <w:szCs w:val="44"/>
        </w:rPr>
        <w:t>暨南大学科研项目间接费用管理办法</w:t>
      </w:r>
    </w:p>
    <w:p>
      <w:pPr>
        <w:spacing w:after="120" w:afterLines="50"/>
        <w:jc w:val="center"/>
        <w:rPr>
          <w:rFonts w:hint="eastAsia" w:ascii="楷体_GB2312" w:hAnsi="黑体" w:eastAsia="楷体_GB2312" w:cs="方正大标宋简体"/>
          <w:sz w:val="36"/>
          <w:szCs w:val="36"/>
        </w:rPr>
      </w:pPr>
      <w:r>
        <w:rPr>
          <w:rFonts w:hint="eastAsia" w:ascii="楷体_GB2312" w:hAnsi="黑体" w:eastAsia="楷体_GB2312" w:cs="方正大标宋简体"/>
          <w:sz w:val="36"/>
          <w:szCs w:val="36"/>
        </w:rPr>
        <w:t>（修订）</w:t>
      </w:r>
    </w:p>
    <w:p>
      <w:pPr>
        <w:spacing w:line="420" w:lineRule="exact"/>
        <w:jc w:val="center"/>
        <w:rPr>
          <w:rFonts w:hint="eastAsia" w:ascii="仿宋_GB2312" w:hAnsi="宋体" w:eastAsia="仿宋_GB2312" w:cs="仿宋_GB2312"/>
          <w:sz w:val="30"/>
          <w:szCs w:val="30"/>
        </w:rPr>
      </w:pPr>
    </w:p>
    <w:p>
      <w:pPr>
        <w:spacing w:line="420" w:lineRule="exact"/>
        <w:jc w:val="center"/>
        <w:rPr>
          <w:rFonts w:hint="eastAsia" w:ascii="仿宋_GB2312" w:hAnsi="宋体" w:eastAsia="仿宋_GB2312" w:cs="仿宋_GB2312"/>
          <w:sz w:val="30"/>
          <w:szCs w:val="30"/>
        </w:rPr>
      </w:pPr>
    </w:p>
    <w:p>
      <w:pPr>
        <w:adjustRightInd w:val="0"/>
        <w:snapToGrid w:val="0"/>
        <w:spacing w:line="590" w:lineRule="exact"/>
        <w:jc w:val="center"/>
        <w:rPr>
          <w:rFonts w:ascii="仿宋_GB2312" w:hAnsi="宋体" w:eastAsia="仿宋_GB2312" w:cs="黑体"/>
          <w:sz w:val="32"/>
          <w:szCs w:val="32"/>
        </w:rPr>
      </w:pPr>
      <w:r>
        <w:rPr>
          <w:rFonts w:hint="eastAsia" w:ascii="仿宋_GB2312" w:hAnsi="宋体" w:eastAsia="仿宋_GB2312" w:cs="黑体"/>
          <w:sz w:val="32"/>
          <w:szCs w:val="32"/>
        </w:rPr>
        <w:t>第一章</w:t>
      </w:r>
      <w:r>
        <w:rPr>
          <w:rFonts w:hint="eastAsia" w:ascii="宋体" w:hAnsi="宋体" w:eastAsia="仿宋_GB2312" w:cs="黑体"/>
          <w:sz w:val="32"/>
          <w:szCs w:val="32"/>
        </w:rPr>
        <w:t xml:space="preserve">  </w:t>
      </w:r>
      <w:r>
        <w:rPr>
          <w:rFonts w:hint="eastAsia" w:ascii="仿宋_GB2312" w:hAnsi="宋体" w:eastAsia="仿宋_GB2312" w:cs="黑体"/>
          <w:sz w:val="32"/>
          <w:szCs w:val="32"/>
        </w:rPr>
        <w:t>总  则</w:t>
      </w:r>
    </w:p>
    <w:p>
      <w:pPr>
        <w:adjustRightInd w:val="0"/>
        <w:snapToGrid w:val="0"/>
        <w:spacing w:line="590" w:lineRule="exact"/>
        <w:jc w:val="center"/>
        <w:rPr>
          <w:rFonts w:ascii="仿宋_GB2312" w:hAnsi="宋体" w:eastAsia="仿宋_GB2312" w:cs="仿宋_GB2312"/>
          <w:sz w:val="30"/>
          <w:szCs w:val="30"/>
        </w:rPr>
      </w:pP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黑体" w:hAnsi="黑体" w:eastAsia="黑体" w:cs="仿宋_GB2312"/>
          <w:sz w:val="32"/>
          <w:szCs w:val="32"/>
        </w:rPr>
        <w:t>第一条</w:t>
      </w:r>
      <w:r>
        <w:rPr>
          <w:rFonts w:hint="eastAsia" w:ascii="仿宋_GB2312" w:hAnsi="宋体" w:eastAsia="仿宋_GB2312" w:cs="仿宋_GB2312"/>
          <w:sz w:val="32"/>
          <w:szCs w:val="32"/>
        </w:rPr>
        <w:t xml:space="preserve">  为加强我校科研经费管理，确保科研项目间接费用合规、有效使用，充分调动教师参与科研活动的积极性，根据《国务院关于改进加强中央财政科研项目和资金管理的若干意见》（国发〔2014〕11号）、《关于调整国家科技计划和公益性行业专项经费管理办法若干规定的通知》（财教〔2011〕434号）、《关于加强中央部门所属高校科研经费管理的意见》（教财〔2012〕7号）、《关于进一步完善中央财政科研项目资金管理等政策的若干意见》(中办发〔2016〕50号)以及中央、地方科研经费管理相关政策、规定，结合我校实际，修订本办法。</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黑体" w:hAnsi="黑体" w:eastAsia="黑体" w:cs="仿宋_GB2312"/>
          <w:sz w:val="32"/>
          <w:szCs w:val="32"/>
        </w:rPr>
        <w:t>第二条</w:t>
      </w:r>
      <w:r>
        <w:rPr>
          <w:rFonts w:hint="eastAsia" w:ascii="仿宋_GB2312" w:hAnsi="宋体" w:eastAsia="仿宋_GB2312" w:cs="仿宋_GB2312"/>
          <w:sz w:val="32"/>
          <w:szCs w:val="32"/>
        </w:rPr>
        <w:t xml:space="preserve">  本办法所指科研项目是指各级政府部门批准立项的实行间接费用管理的科研项目。</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黑体" w:hAnsi="黑体" w:eastAsia="黑体" w:cs="仿宋_GB2312"/>
          <w:sz w:val="32"/>
          <w:szCs w:val="32"/>
        </w:rPr>
        <w:t>第三条</w:t>
      </w:r>
      <w:r>
        <w:rPr>
          <w:rFonts w:hint="eastAsia" w:ascii="仿宋_GB2312" w:hAnsi="宋体" w:eastAsia="仿宋_GB2312" w:cs="仿宋_GB2312"/>
          <w:sz w:val="32"/>
          <w:szCs w:val="32"/>
        </w:rPr>
        <w:t xml:space="preserve">  间接费用是指学校作为科研项目任务承担、参与单位，在组织实施项目过程中发生的无法在直接费用中列支的相关费用。间接费用主要用于项目承担、参与单位的成本耗费和对科研人员的绩效激励。</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黑体" w:hAnsi="黑体" w:eastAsia="黑体" w:cs="仿宋_GB2312"/>
          <w:sz w:val="32"/>
          <w:szCs w:val="32"/>
        </w:rPr>
        <w:t>第四条</w:t>
      </w:r>
      <w:r>
        <w:rPr>
          <w:rFonts w:hint="eastAsia" w:ascii="仿宋_GB2312" w:hAnsi="宋体" w:eastAsia="仿宋_GB2312" w:cs="仿宋_GB2312"/>
          <w:sz w:val="32"/>
          <w:szCs w:val="32"/>
        </w:rPr>
        <w:t xml:space="preserve">  间接费用管理和使用原则。</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（一）成本补偿原则：按照“谁使用谁付费、谁受益谁承担”的原则进行成本补偿。</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（二）激励导向原则：学校加强科研项目绩效评价，对间接费用的分配和使用坚持激励导向，激发科研组织活力，调动一线科研工作人员积极性。</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（三）分级管理原则：间接费用预算由学校统筹安排，分级管理，集中核算。</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（四）保障优先原则:间接费用优先保障学校科研成本补偿。</w:t>
      </w:r>
    </w:p>
    <w:p>
      <w:pPr>
        <w:adjustRightInd w:val="0"/>
        <w:snapToGrid w:val="0"/>
        <w:spacing w:line="570" w:lineRule="exact"/>
        <w:jc w:val="center"/>
        <w:rPr>
          <w:rFonts w:hint="eastAsia" w:ascii="仿宋_GB2312" w:hAnsi="宋体" w:eastAsia="仿宋_GB2312" w:cs="仿宋_GB2312"/>
          <w:sz w:val="32"/>
          <w:szCs w:val="32"/>
        </w:rPr>
      </w:pPr>
    </w:p>
    <w:p>
      <w:pPr>
        <w:adjustRightInd w:val="0"/>
        <w:snapToGrid w:val="0"/>
        <w:spacing w:line="570" w:lineRule="exact"/>
        <w:jc w:val="center"/>
        <w:rPr>
          <w:rFonts w:hint="eastAsia" w:ascii="仿宋_GB2312" w:hAnsi="宋体" w:eastAsia="仿宋_GB2312" w:cs="黑体"/>
          <w:sz w:val="32"/>
          <w:szCs w:val="32"/>
        </w:rPr>
      </w:pPr>
      <w:r>
        <w:rPr>
          <w:rFonts w:hint="eastAsia" w:ascii="仿宋_GB2312" w:hAnsi="宋体" w:eastAsia="仿宋_GB2312" w:cs="黑体"/>
          <w:sz w:val="32"/>
          <w:szCs w:val="32"/>
        </w:rPr>
        <w:t>第二章  间接费用支出范围</w:t>
      </w:r>
    </w:p>
    <w:p>
      <w:pPr>
        <w:adjustRightInd w:val="0"/>
        <w:snapToGrid w:val="0"/>
        <w:spacing w:line="570" w:lineRule="exact"/>
        <w:jc w:val="center"/>
        <w:rPr>
          <w:rFonts w:hint="eastAsia" w:ascii="仿宋_GB2312" w:hAnsi="宋体" w:eastAsia="仿宋_GB2312" w:cs="仿宋_GB2312"/>
          <w:sz w:val="32"/>
          <w:szCs w:val="32"/>
        </w:rPr>
      </w:pP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黑体" w:hAnsi="黑体" w:eastAsia="黑体" w:cs="仿宋_GB2312"/>
          <w:sz w:val="32"/>
          <w:szCs w:val="32"/>
        </w:rPr>
        <w:t>第五条</w:t>
      </w:r>
      <w:r>
        <w:rPr>
          <w:rFonts w:hint="eastAsia" w:ascii="仿宋_GB2312" w:hAnsi="宋体" w:eastAsia="仿宋_GB2312" w:cs="仿宋_GB2312"/>
          <w:sz w:val="32"/>
          <w:szCs w:val="32"/>
        </w:rPr>
        <w:t xml:space="preserve">  间接费用主要包括承担科研项目任务的单位为项目研究提供的现有仪器、设备及房屋，水、电、气、暖消耗，有关管理费用的补助支出，科研人员的绩效支出，以及其他无法在直接费用中列支的相关费用等。</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间接费用支出内容：</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一）科研管理费：指学校职能部门及学院组织科研项目实施所发生的费用支出，主要包括项目前期费用、可行性论证费、财务费用、资料档案费用等科研项目管理及服务工作经费。科研管理费的计提有现行规定的，按规定的最高限额提取。</w:t>
      </w:r>
    </w:p>
    <w:p>
      <w:pPr>
        <w:adjustRightInd w:val="0"/>
        <w:snapToGrid w:val="0"/>
        <w:spacing w:line="570" w:lineRule="exact"/>
        <w:ind w:firstLine="640" w:firstLineChars="200"/>
        <w:rPr>
          <w:rFonts w:hint="eastAsia" w:ascii="仿宋_GB2312" w:hAnsi="宋体" w:eastAsia="仿宋_GB2312" w:cs="仿宋_GB2312"/>
          <w:spacing w:val="-4"/>
          <w:sz w:val="32"/>
          <w:szCs w:val="32"/>
        </w:rPr>
      </w:pPr>
      <w:r>
        <w:rPr>
          <w:rFonts w:hint="eastAsia" w:ascii="仿宋_GB2312" w:hAnsi="宋体" w:eastAsia="仿宋_GB2312" w:cs="仿宋_GB2312"/>
          <w:sz w:val="32"/>
          <w:szCs w:val="32"/>
        </w:rPr>
        <w:t>（二）科</w:t>
      </w:r>
      <w:r>
        <w:rPr>
          <w:rFonts w:hint="eastAsia" w:ascii="仿宋_GB2312" w:hAnsi="宋体" w:eastAsia="仿宋_GB2312" w:cs="仿宋_GB2312"/>
          <w:spacing w:val="-4"/>
          <w:sz w:val="32"/>
          <w:szCs w:val="32"/>
        </w:rPr>
        <w:t>研绩效支出：指为提高科研工作绩效安排的相关支出，用于项目组研究人员的激励以及研究生的培养等相关绩效支出。</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三）学校公共成本补偿支出：指项目在组织实施过程中，使用学校的现有仪器、设备及房屋，水、电、气、暖消耗等公共支出。主要包括仪器、设备、房屋及建筑物等固定资产公共资源占用费，仪器设备运行维护费，水、电、气、暖等公共消耗支出，图书资料购置费、网络信息建设费、科研基础设施建设费、公共实验平台建设费等各种项目支撑条件的补偿支出。</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四）其他间接费用：指其他无法在直接费用中列支的相关费用。主要包括：项目组可以单独计量的水、电、气、暖等消耗费用支出，与项目研究有关的通用设备、办公材料和项目验收、结题、审计等费用支出；其他间接费用由项目组支配使用。</w:t>
      </w:r>
    </w:p>
    <w:p>
      <w:pPr>
        <w:adjustRightInd w:val="0"/>
        <w:snapToGrid w:val="0"/>
        <w:spacing w:line="570" w:lineRule="exact"/>
        <w:jc w:val="center"/>
        <w:rPr>
          <w:rFonts w:hint="eastAsia" w:ascii="仿宋_GB2312" w:hAnsi="宋体" w:eastAsia="仿宋_GB2312" w:cs="仿宋_GB2312"/>
          <w:sz w:val="32"/>
          <w:szCs w:val="32"/>
        </w:rPr>
      </w:pPr>
    </w:p>
    <w:p>
      <w:pPr>
        <w:adjustRightInd w:val="0"/>
        <w:snapToGrid w:val="0"/>
        <w:spacing w:line="570" w:lineRule="exact"/>
        <w:jc w:val="center"/>
        <w:rPr>
          <w:rFonts w:hint="eastAsia" w:ascii="仿宋_GB2312" w:hAnsi="宋体" w:eastAsia="仿宋_GB2312" w:cs="黑体"/>
          <w:sz w:val="32"/>
          <w:szCs w:val="32"/>
        </w:rPr>
      </w:pPr>
      <w:r>
        <w:rPr>
          <w:rFonts w:hint="eastAsia" w:ascii="仿宋_GB2312" w:hAnsi="宋体" w:eastAsia="仿宋_GB2312" w:cs="黑体"/>
          <w:sz w:val="32"/>
          <w:szCs w:val="32"/>
        </w:rPr>
        <w:t>第三章  间接费用预算核定与分配比例</w:t>
      </w:r>
    </w:p>
    <w:p>
      <w:pPr>
        <w:adjustRightInd w:val="0"/>
        <w:snapToGrid w:val="0"/>
        <w:spacing w:line="570" w:lineRule="exact"/>
        <w:jc w:val="center"/>
        <w:rPr>
          <w:rFonts w:hint="eastAsia" w:ascii="仿宋_GB2312" w:hAnsi="宋体" w:eastAsia="仿宋_GB2312" w:cs="仿宋_GB2312"/>
          <w:sz w:val="32"/>
          <w:szCs w:val="32"/>
        </w:rPr>
      </w:pP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黑体" w:hAnsi="黑体" w:eastAsia="黑体" w:cs="仿宋_GB2312"/>
          <w:sz w:val="32"/>
          <w:szCs w:val="32"/>
        </w:rPr>
        <w:t>第六条</w:t>
      </w:r>
      <w:r>
        <w:rPr>
          <w:rFonts w:hint="eastAsia" w:ascii="仿宋_GB2312" w:hAnsi="宋体" w:eastAsia="仿宋_GB2312" w:cs="仿宋_GB2312"/>
          <w:sz w:val="32"/>
          <w:szCs w:val="32"/>
        </w:rPr>
        <w:t xml:space="preserve">  间接费用预算核定比例。</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实行间接费用管理的各类科研项目，项目主管部门明确规定间接费用核定比例的，按其规定执行。学校在核定的间接费用比例范围内科学合理地安排绩效支出，并与科研人员在项目工作中的实际贡献挂钩，以加大对科研人员激励力度。</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间接费用预算依据规定比例上限据实编制。由项目承担单位和项目合作单位根据各自承担的研究任务和经费额度，提出间接费用分配方案。科研项目预算有特殊要求的，参照特定科研经费管理办法执行。项目预算在上报前须经科研管理部门和财务部门审批。</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黑体" w:hAnsi="黑体" w:eastAsia="黑体" w:cs="仿宋_GB2312"/>
          <w:sz w:val="32"/>
          <w:szCs w:val="32"/>
        </w:rPr>
        <w:t>第七条</w:t>
      </w:r>
      <w:r>
        <w:rPr>
          <w:rFonts w:hint="eastAsia" w:ascii="仿宋_GB2312" w:hAnsi="宋体" w:eastAsia="仿宋_GB2312" w:cs="仿宋_GB2312"/>
          <w:sz w:val="32"/>
          <w:szCs w:val="32"/>
        </w:rPr>
        <w:t xml:space="preserve">  间接费用按照分级管理原则分为学校间接费用、学院（研究院/所）间接费用和项目组间接费用。</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学校社科项目间接费用分配比例占间接费用总额的8%，科技项目间接费用分配比例占间接费用总额的20%，主要用于学校科研项目管理及服务费用补偿、学校公共成本补偿。</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学院（研究院/所）社科项目间接费用分配比例占间接费用总额的2%，科技项目间接费用分配比例占间接费用总额的5%，主要用于学院（研究院/所）科研项目管理及服务费用补偿、项目组织和实施费用补偿。</w:t>
      </w:r>
    </w:p>
    <w:p>
      <w:pPr>
        <w:adjustRightInd w:val="0"/>
        <w:snapToGrid w:val="0"/>
        <w:spacing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项目组社科项目间接费用分配比例占间接费用总额的90%，科技项目间接费用分配比例占间接费用总额的75%，主要用于无法在直接费用中列支的与项目研究相关的不可预见的费用及项目组的科研绩效支出。绩效支出的发放条件按国家有关规定执行。</w:t>
      </w:r>
    </w:p>
    <w:p>
      <w:pPr>
        <w:adjustRightInd w:val="0"/>
        <w:snapToGrid w:val="0"/>
        <w:spacing w:after="120" w:afterLines="50" w:line="57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社科项目间接费用分配比例：</w:t>
      </w:r>
    </w:p>
    <w:tbl>
      <w:tblPr>
        <w:tblStyle w:val="7"/>
        <w:tblW w:w="90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1"/>
        <w:gridCol w:w="2279"/>
        <w:gridCol w:w="2350"/>
        <w:gridCol w:w="151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8" w:hRule="atLeast"/>
        </w:trPr>
        <w:tc>
          <w:tcPr>
            <w:tcW w:w="1361" w:type="dxa"/>
            <w:vAlign w:val="center"/>
          </w:tcPr>
          <w:p>
            <w:pPr>
              <w:adjustRightInd w:val="0"/>
              <w:snapToGrid w:val="0"/>
              <w:spacing w:line="540" w:lineRule="exact"/>
              <w:jc w:val="center"/>
              <w:rPr>
                <w:rFonts w:ascii="仿宋_GB2312" w:hAnsi="宋体" w:eastAsia="仿宋_GB2312" w:cs="仿宋_GB2312"/>
                <w:b/>
                <w:kern w:val="0"/>
                <w:sz w:val="24"/>
              </w:rPr>
            </w:pPr>
            <w:r>
              <w:rPr>
                <w:rFonts w:hint="eastAsia" w:ascii="仿宋_GB2312" w:hAnsi="宋体" w:eastAsia="仿宋_GB2312" w:cs="仿宋_GB2312"/>
                <w:b/>
                <w:kern w:val="0"/>
                <w:sz w:val="24"/>
              </w:rPr>
              <w:t>科目</w:t>
            </w:r>
          </w:p>
        </w:tc>
        <w:tc>
          <w:tcPr>
            <w:tcW w:w="2279" w:type="dxa"/>
            <w:vAlign w:val="center"/>
          </w:tcPr>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学校</w:t>
            </w:r>
          </w:p>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间接费用</w:t>
            </w:r>
          </w:p>
        </w:tc>
        <w:tc>
          <w:tcPr>
            <w:tcW w:w="2350" w:type="dxa"/>
            <w:vAlign w:val="center"/>
          </w:tcPr>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学院（研究院/所）</w:t>
            </w:r>
          </w:p>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间接费用</w:t>
            </w:r>
          </w:p>
        </w:tc>
        <w:tc>
          <w:tcPr>
            <w:tcW w:w="3070" w:type="dxa"/>
            <w:gridSpan w:val="2"/>
            <w:vAlign w:val="center"/>
          </w:tcPr>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项目组</w:t>
            </w:r>
          </w:p>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5" w:hRule="atLeast"/>
        </w:trPr>
        <w:tc>
          <w:tcPr>
            <w:tcW w:w="1361"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用途</w:t>
            </w:r>
          </w:p>
        </w:tc>
        <w:tc>
          <w:tcPr>
            <w:tcW w:w="2279" w:type="dxa"/>
            <w:vAlign w:val="center"/>
          </w:tcPr>
          <w:p>
            <w:pPr>
              <w:adjustRightInd w:val="0"/>
              <w:snapToGrid w:val="0"/>
              <w:spacing w:line="28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学校公共成本补偿、项目管理及服务</w:t>
            </w:r>
          </w:p>
        </w:tc>
        <w:tc>
          <w:tcPr>
            <w:tcW w:w="2350"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项目管理、组织及运行</w:t>
            </w:r>
          </w:p>
        </w:tc>
        <w:tc>
          <w:tcPr>
            <w:tcW w:w="1516"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其他费用</w:t>
            </w:r>
          </w:p>
        </w:tc>
        <w:tc>
          <w:tcPr>
            <w:tcW w:w="1554"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绩效支出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9" w:hRule="atLeast"/>
        </w:trPr>
        <w:tc>
          <w:tcPr>
            <w:tcW w:w="1361" w:type="dxa"/>
            <w:vAlign w:val="center"/>
          </w:tcPr>
          <w:p>
            <w:pPr>
              <w:adjustRightInd w:val="0"/>
              <w:snapToGrid w:val="0"/>
              <w:spacing w:line="30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占间接费用总额的比例</w:t>
            </w:r>
          </w:p>
        </w:tc>
        <w:tc>
          <w:tcPr>
            <w:tcW w:w="2279" w:type="dxa"/>
            <w:vAlign w:val="center"/>
          </w:tcPr>
          <w:p>
            <w:pPr>
              <w:adjustRightInd w:val="0"/>
              <w:snapToGrid w:val="0"/>
              <w:spacing w:line="54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8%</w:t>
            </w:r>
          </w:p>
        </w:tc>
        <w:tc>
          <w:tcPr>
            <w:tcW w:w="2350" w:type="dxa"/>
            <w:vAlign w:val="center"/>
          </w:tcPr>
          <w:p>
            <w:pPr>
              <w:adjustRightInd w:val="0"/>
              <w:snapToGrid w:val="0"/>
              <w:spacing w:line="54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2%</w:t>
            </w:r>
          </w:p>
        </w:tc>
        <w:tc>
          <w:tcPr>
            <w:tcW w:w="3070" w:type="dxa"/>
            <w:gridSpan w:val="2"/>
            <w:vAlign w:val="center"/>
          </w:tcPr>
          <w:p>
            <w:pPr>
              <w:adjustRightInd w:val="0"/>
              <w:snapToGrid w:val="0"/>
              <w:spacing w:line="54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90%</w:t>
            </w:r>
          </w:p>
        </w:tc>
      </w:tr>
    </w:tbl>
    <w:p>
      <w:pPr>
        <w:adjustRightInd w:val="0"/>
        <w:snapToGrid w:val="0"/>
        <w:spacing w:after="240" w:afterLines="100" w:line="59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科技项目间接费用分配比例：</w:t>
      </w:r>
    </w:p>
    <w:tbl>
      <w:tblPr>
        <w:tblStyle w:val="7"/>
        <w:tblW w:w="90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1"/>
        <w:gridCol w:w="2279"/>
        <w:gridCol w:w="2350"/>
        <w:gridCol w:w="151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trPr>
        <w:tc>
          <w:tcPr>
            <w:tcW w:w="1361" w:type="dxa"/>
            <w:vAlign w:val="center"/>
          </w:tcPr>
          <w:p>
            <w:pPr>
              <w:adjustRightInd w:val="0"/>
              <w:snapToGrid w:val="0"/>
              <w:spacing w:line="540" w:lineRule="exact"/>
              <w:jc w:val="center"/>
              <w:rPr>
                <w:rFonts w:ascii="仿宋_GB2312" w:hAnsi="宋体" w:eastAsia="仿宋_GB2312" w:cs="仿宋_GB2312"/>
                <w:b/>
                <w:kern w:val="0"/>
                <w:sz w:val="24"/>
              </w:rPr>
            </w:pPr>
            <w:r>
              <w:rPr>
                <w:rFonts w:hint="eastAsia" w:ascii="仿宋_GB2312" w:hAnsi="宋体" w:eastAsia="仿宋_GB2312" w:cs="仿宋_GB2312"/>
                <w:b/>
                <w:kern w:val="0"/>
                <w:sz w:val="24"/>
              </w:rPr>
              <w:t>科目</w:t>
            </w:r>
          </w:p>
        </w:tc>
        <w:tc>
          <w:tcPr>
            <w:tcW w:w="2279" w:type="dxa"/>
            <w:vAlign w:val="center"/>
          </w:tcPr>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学校</w:t>
            </w:r>
          </w:p>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间接费用</w:t>
            </w:r>
          </w:p>
        </w:tc>
        <w:tc>
          <w:tcPr>
            <w:tcW w:w="2350" w:type="dxa"/>
            <w:vAlign w:val="center"/>
          </w:tcPr>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学院（研究院/所）</w:t>
            </w:r>
          </w:p>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间接费用</w:t>
            </w:r>
          </w:p>
        </w:tc>
        <w:tc>
          <w:tcPr>
            <w:tcW w:w="3070" w:type="dxa"/>
            <w:gridSpan w:val="2"/>
            <w:vAlign w:val="center"/>
          </w:tcPr>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项目组</w:t>
            </w:r>
          </w:p>
          <w:p>
            <w:pPr>
              <w:adjustRightInd w:val="0"/>
              <w:snapToGrid w:val="0"/>
              <w:jc w:val="center"/>
              <w:rPr>
                <w:rFonts w:ascii="仿宋_GB2312" w:hAnsi="宋体" w:eastAsia="仿宋_GB2312" w:cs="仿宋_GB2312"/>
                <w:b/>
                <w:kern w:val="0"/>
                <w:sz w:val="24"/>
              </w:rPr>
            </w:pPr>
            <w:r>
              <w:rPr>
                <w:rFonts w:hint="eastAsia" w:ascii="仿宋_GB2312" w:hAnsi="宋体" w:eastAsia="仿宋_GB2312" w:cs="仿宋_GB2312"/>
                <w:b/>
                <w:kern w:val="0"/>
                <w:sz w:val="24"/>
              </w:rPr>
              <w:t>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trPr>
        <w:tc>
          <w:tcPr>
            <w:tcW w:w="1361"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用途</w:t>
            </w:r>
          </w:p>
        </w:tc>
        <w:tc>
          <w:tcPr>
            <w:tcW w:w="2279"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学校公共成本补偿、项目管理及服务</w:t>
            </w:r>
          </w:p>
        </w:tc>
        <w:tc>
          <w:tcPr>
            <w:tcW w:w="2350"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项目管理、组织及运行</w:t>
            </w:r>
          </w:p>
        </w:tc>
        <w:tc>
          <w:tcPr>
            <w:tcW w:w="1516"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其他费用</w:t>
            </w:r>
          </w:p>
        </w:tc>
        <w:tc>
          <w:tcPr>
            <w:tcW w:w="1554"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绩效支出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trPr>
        <w:tc>
          <w:tcPr>
            <w:tcW w:w="1361" w:type="dxa"/>
            <w:vAlign w:val="center"/>
          </w:tcPr>
          <w:p>
            <w:pPr>
              <w:adjustRightInd w:val="0"/>
              <w:snapToGrid w:val="0"/>
              <w:jc w:val="center"/>
              <w:rPr>
                <w:rFonts w:ascii="仿宋_GB2312" w:hAnsi="宋体" w:eastAsia="仿宋_GB2312" w:cs="仿宋_GB2312"/>
                <w:kern w:val="0"/>
                <w:sz w:val="24"/>
              </w:rPr>
            </w:pPr>
            <w:r>
              <w:rPr>
                <w:rFonts w:hint="eastAsia" w:ascii="仿宋_GB2312" w:hAnsi="宋体" w:eastAsia="仿宋_GB2312" w:cs="仿宋_GB2312"/>
                <w:kern w:val="0"/>
                <w:sz w:val="24"/>
              </w:rPr>
              <w:t>占间接费用总额的比例</w:t>
            </w:r>
          </w:p>
        </w:tc>
        <w:tc>
          <w:tcPr>
            <w:tcW w:w="2279" w:type="dxa"/>
            <w:vAlign w:val="center"/>
          </w:tcPr>
          <w:p>
            <w:pPr>
              <w:adjustRightInd w:val="0"/>
              <w:snapToGrid w:val="0"/>
              <w:spacing w:line="54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20%</w:t>
            </w:r>
          </w:p>
        </w:tc>
        <w:tc>
          <w:tcPr>
            <w:tcW w:w="2350" w:type="dxa"/>
            <w:vAlign w:val="center"/>
          </w:tcPr>
          <w:p>
            <w:pPr>
              <w:adjustRightInd w:val="0"/>
              <w:snapToGrid w:val="0"/>
              <w:spacing w:line="54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5%</w:t>
            </w:r>
          </w:p>
        </w:tc>
        <w:tc>
          <w:tcPr>
            <w:tcW w:w="3070" w:type="dxa"/>
            <w:gridSpan w:val="2"/>
            <w:vAlign w:val="center"/>
          </w:tcPr>
          <w:p>
            <w:pPr>
              <w:adjustRightInd w:val="0"/>
              <w:snapToGrid w:val="0"/>
              <w:spacing w:line="54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75%</w:t>
            </w:r>
          </w:p>
        </w:tc>
      </w:tr>
    </w:tbl>
    <w:p>
      <w:pPr>
        <w:adjustRightInd w:val="0"/>
        <w:snapToGrid w:val="0"/>
        <w:spacing w:line="590" w:lineRule="exact"/>
        <w:jc w:val="center"/>
        <w:rPr>
          <w:rFonts w:ascii="仿宋_GB2312" w:hAnsi="宋体" w:eastAsia="仿宋_GB2312" w:cs="黑体"/>
          <w:sz w:val="30"/>
          <w:szCs w:val="30"/>
        </w:rPr>
      </w:pPr>
    </w:p>
    <w:p>
      <w:pPr>
        <w:adjustRightInd w:val="0"/>
        <w:snapToGrid w:val="0"/>
        <w:spacing w:line="590" w:lineRule="exact"/>
        <w:jc w:val="center"/>
        <w:rPr>
          <w:rFonts w:ascii="仿宋_GB2312" w:hAnsi="宋体" w:eastAsia="仿宋_GB2312" w:cs="黑体"/>
          <w:sz w:val="32"/>
          <w:szCs w:val="32"/>
        </w:rPr>
      </w:pPr>
      <w:r>
        <w:rPr>
          <w:rFonts w:hint="eastAsia" w:ascii="仿宋_GB2312" w:hAnsi="宋体" w:eastAsia="仿宋_GB2312" w:cs="黑体"/>
          <w:sz w:val="32"/>
          <w:szCs w:val="32"/>
        </w:rPr>
        <w:t>第四章  间接费用的使用和管理</w:t>
      </w:r>
    </w:p>
    <w:p>
      <w:pPr>
        <w:adjustRightInd w:val="0"/>
        <w:snapToGrid w:val="0"/>
        <w:spacing w:line="590" w:lineRule="exact"/>
        <w:jc w:val="center"/>
        <w:rPr>
          <w:rFonts w:ascii="仿宋_GB2312" w:hAnsi="宋体" w:eastAsia="仿宋_GB2312" w:cs="仿宋_GB2312"/>
          <w:sz w:val="30"/>
          <w:szCs w:val="30"/>
        </w:rPr>
      </w:pP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黑体" w:hAnsi="黑体" w:eastAsia="黑体" w:cs="仿宋_GB2312"/>
          <w:sz w:val="32"/>
          <w:szCs w:val="32"/>
        </w:rPr>
        <w:t>第八条</w:t>
      </w:r>
      <w:r>
        <w:rPr>
          <w:rFonts w:hint="eastAsia" w:ascii="仿宋_GB2312" w:hAnsi="宋体" w:eastAsia="仿宋_GB2312" w:cs="仿宋_GB2312"/>
          <w:sz w:val="32"/>
          <w:szCs w:val="32"/>
        </w:rPr>
        <w:t xml:space="preserve">  学校收到科研项目间接费用来款，科研管理部门提供间接费用入账及项目间接费用分配相关资料，财务部门按照学校相关规定办理科研项目间接费用的拨款手续。</w:t>
      </w: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黑体" w:hAnsi="黑体" w:eastAsia="黑体" w:cs="Meiryo"/>
          <w:sz w:val="32"/>
          <w:szCs w:val="32"/>
        </w:rPr>
        <w:t>第九条</w:t>
      </w:r>
      <w:r>
        <w:rPr>
          <w:rFonts w:hint="eastAsia" w:ascii="仿宋_GB2312" w:hAnsi="宋体" w:eastAsia="仿宋_GB2312" w:cs="仿宋_GB2312"/>
          <w:sz w:val="32"/>
          <w:szCs w:val="32"/>
        </w:rPr>
        <w:t xml:space="preserve">  项目组的绩效支出应该以成果为导向，由学校根据中央及地方相关规定，结合项目绩效考核结果进行使用和管理。</w:t>
      </w: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科研项目绩效考核实行项目负责人负责制，项目负责人根据本学科的特点及项目实施情况，制定考核指标，对项目组成员进行年度科研实绩考核，并结合考核结果提出绩效支出方案，间接经费的绩效支出审批认定权归属科研管理部门，科研管理部门实行授权分级审批制，其中，200万元以上的科研项目由科研管理部门审批，200万元以下的科研项目由项目组所在单位主管领导审批。学校财务部门根据以上审批通过的绩效支出方案，结合国家工资津贴政策予以发放绩效支出。</w:t>
      </w: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绩效支出分二次或多次发放的，项目组首次提交年度进展报告、通过绩效考核的，可一次或多次发放绩效支出总额的70%；结题验收通过后，凭结题证明材料，发放绩效支出总额的30%。项目没有通过结题或项目中止、撤销、延期的，按该类项目经费管理办法相关规定执行；没有规定的，学校扣除绩效支出总额的30%，不予发放。如果按照相关科研项目规定，结题审计后不能列支任何费用，需在结题之前发放绩效支出的，项目负责人须提交书面承诺书，提前发放剩余的绩效支出。</w:t>
      </w: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（三）多次发放绩效支出的，首次发放需提交发放申请审批表及绩效考核认定资料的原件，后续发放仅需提交发放申请审批表原件及绩效考核认定资料的复印件。</w:t>
      </w: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黑体" w:hAnsi="黑体" w:eastAsia="黑体" w:cs="Meiryo"/>
          <w:sz w:val="32"/>
          <w:szCs w:val="32"/>
        </w:rPr>
        <w:t>第十条</w:t>
      </w:r>
      <w:r>
        <w:rPr>
          <w:rFonts w:hint="eastAsia" w:ascii="仿宋_GB2312" w:hAnsi="宋体" w:eastAsia="仿宋_GB2312" w:cs="仿宋_GB2312"/>
          <w:sz w:val="32"/>
          <w:szCs w:val="32"/>
        </w:rPr>
        <w:t xml:space="preserve">  学校间接费用纳入年度预算统筹安排，不截留、不分配，用于弥补学校在组织实施项目过程中发生的相关科研管理及服务支出、不能单独计量的水、电、暖、气等公共消耗支出、校级科研项目安排等。</w:t>
      </w: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黑体" w:hAnsi="黑体" w:eastAsia="黑体" w:cs="Meiryo"/>
          <w:sz w:val="32"/>
          <w:szCs w:val="32"/>
        </w:rPr>
        <w:t>第十一条</w:t>
      </w:r>
      <w:r>
        <w:rPr>
          <w:rFonts w:hint="eastAsia" w:ascii="仿宋_GB2312" w:hAnsi="宋体" w:eastAsia="仿宋_GB2312" w:cs="仿宋_GB2312"/>
          <w:sz w:val="32"/>
          <w:szCs w:val="32"/>
        </w:rPr>
        <w:t xml:space="preserve">  学院（研究院/所）间接费用用于学院科研项目管理及培育、科研活动等支出。</w:t>
      </w: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黑体" w:hAnsi="黑体" w:eastAsia="黑体" w:cs="Meiryo"/>
          <w:sz w:val="32"/>
          <w:szCs w:val="32"/>
        </w:rPr>
        <w:t>第十二条</w:t>
      </w:r>
      <w:r>
        <w:rPr>
          <w:rFonts w:hint="eastAsia" w:ascii="仿宋_GB2312" w:hAnsi="宋体" w:eastAsia="仿宋_GB2312" w:cs="仿宋_GB2312"/>
          <w:sz w:val="32"/>
          <w:szCs w:val="32"/>
        </w:rPr>
        <w:t xml:space="preserve">  项目组间接费用由项目组支配使用。用于无法在直接费用中列支的与项目研究相关的不可预见的费用及项目组的科研绩效支出。</w:t>
      </w:r>
    </w:p>
    <w:p>
      <w:pPr>
        <w:adjustRightInd w:val="0"/>
        <w:snapToGrid w:val="0"/>
        <w:spacing w:line="570" w:lineRule="exact"/>
        <w:ind w:firstLine="640" w:firstLineChars="200"/>
        <w:rPr>
          <w:rFonts w:ascii="仿宋_GB2312" w:hAnsi="宋体" w:eastAsia="仿宋_GB2312" w:cs="仿宋_GB2312"/>
          <w:sz w:val="32"/>
          <w:szCs w:val="32"/>
        </w:rPr>
      </w:pPr>
    </w:p>
    <w:p>
      <w:pPr>
        <w:adjustRightInd w:val="0"/>
        <w:snapToGrid w:val="0"/>
        <w:spacing w:line="570" w:lineRule="exact"/>
        <w:jc w:val="center"/>
        <w:rPr>
          <w:rFonts w:ascii="仿宋_GB2312" w:hAnsi="宋体" w:eastAsia="仿宋_GB2312" w:cs="黑体"/>
          <w:sz w:val="32"/>
          <w:szCs w:val="32"/>
        </w:rPr>
      </w:pPr>
      <w:r>
        <w:rPr>
          <w:rFonts w:hint="eastAsia" w:ascii="仿宋_GB2312" w:hAnsi="宋体" w:eastAsia="仿宋_GB2312" w:cs="黑体"/>
          <w:sz w:val="32"/>
          <w:szCs w:val="32"/>
        </w:rPr>
        <w:t>第五章</w:t>
      </w:r>
      <w:r>
        <w:rPr>
          <w:rFonts w:hint="eastAsia" w:ascii="宋体" w:hAnsi="宋体" w:eastAsia="仿宋_GB2312" w:cs="黑体"/>
          <w:sz w:val="32"/>
          <w:szCs w:val="32"/>
        </w:rPr>
        <w:t xml:space="preserve">  </w:t>
      </w:r>
      <w:r>
        <w:rPr>
          <w:rFonts w:hint="eastAsia" w:ascii="仿宋_GB2312" w:hAnsi="宋体" w:eastAsia="仿宋_GB2312" w:cs="黑体"/>
          <w:sz w:val="32"/>
          <w:szCs w:val="32"/>
        </w:rPr>
        <w:t>间接费用的监督管理</w:t>
      </w:r>
    </w:p>
    <w:p>
      <w:pPr>
        <w:adjustRightInd w:val="0"/>
        <w:snapToGrid w:val="0"/>
        <w:spacing w:line="570" w:lineRule="exact"/>
        <w:jc w:val="center"/>
        <w:rPr>
          <w:rFonts w:hint="eastAsia" w:ascii="仿宋_GB2312" w:hAnsi="宋体" w:eastAsia="仿宋_GB2312" w:cs="仿宋_GB2312"/>
          <w:sz w:val="32"/>
          <w:szCs w:val="32"/>
        </w:rPr>
      </w:pP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黑体" w:hAnsi="黑体" w:eastAsia="黑体" w:cs="仿宋_GB2312"/>
          <w:sz w:val="32"/>
          <w:szCs w:val="32"/>
        </w:rPr>
        <w:t>第十三条</w:t>
      </w:r>
      <w:r>
        <w:rPr>
          <w:rFonts w:hint="eastAsia" w:ascii="仿宋_GB2312" w:hAnsi="宋体" w:eastAsia="仿宋_GB2312" w:cs="仿宋_GB2312"/>
          <w:sz w:val="32"/>
          <w:szCs w:val="32"/>
        </w:rPr>
        <w:t xml:space="preserve">  间接费用预算一经批复不予调整，严格按照规定的费用开支范围和比例支出，严禁用于支付各种罚款、捐款、赞助、投资等，严禁以任何方式牟取私利。</w:t>
      </w:r>
    </w:p>
    <w:p>
      <w:pPr>
        <w:adjustRightInd w:val="0"/>
        <w:snapToGrid w:val="0"/>
        <w:spacing w:line="570" w:lineRule="exact"/>
        <w:ind w:firstLine="640" w:firstLineChars="200"/>
        <w:rPr>
          <w:rFonts w:ascii="仿宋_GB2312" w:hAnsi="宋体" w:eastAsia="仿宋_GB2312" w:cs="仿宋_GB2312"/>
          <w:spacing w:val="-4"/>
          <w:sz w:val="32"/>
          <w:szCs w:val="32"/>
        </w:rPr>
      </w:pPr>
      <w:r>
        <w:rPr>
          <w:rFonts w:hint="eastAsia" w:ascii="黑体" w:hAnsi="黑体" w:eastAsia="黑体" w:cs="仿宋_GB2312"/>
          <w:sz w:val="32"/>
          <w:szCs w:val="32"/>
        </w:rPr>
        <w:t>第十四条</w:t>
      </w:r>
      <w:r>
        <w:rPr>
          <w:rFonts w:hint="eastAsia" w:ascii="仿宋_GB2312" w:hAnsi="宋体" w:eastAsia="仿宋_GB2312" w:cs="仿宋_GB2312"/>
          <w:sz w:val="32"/>
          <w:szCs w:val="32"/>
        </w:rPr>
        <w:t xml:space="preserve">  对</w:t>
      </w:r>
      <w:r>
        <w:rPr>
          <w:rFonts w:hint="eastAsia" w:ascii="仿宋_GB2312" w:hAnsi="宋体" w:eastAsia="仿宋_GB2312" w:cs="仿宋_GB2312"/>
          <w:spacing w:val="-4"/>
          <w:sz w:val="32"/>
          <w:szCs w:val="32"/>
        </w:rPr>
        <w:t>于间接费用使用管理存在弄虚作假等违反法律、法规等行为的，按照《财政违法行为处罚处分条例》及相关法律、法规进行处罚处分。涉嫌犯罪的，将依法移送司法机关处理。</w:t>
      </w:r>
    </w:p>
    <w:p>
      <w:pPr>
        <w:adjustRightInd w:val="0"/>
        <w:snapToGrid w:val="0"/>
        <w:spacing w:line="570" w:lineRule="exact"/>
        <w:jc w:val="center"/>
        <w:rPr>
          <w:rFonts w:hint="eastAsia" w:ascii="仿宋_GB2312" w:hAnsi="宋体" w:eastAsia="仿宋_GB2312" w:cs="仿宋_GB2312"/>
          <w:sz w:val="32"/>
          <w:szCs w:val="32"/>
        </w:rPr>
      </w:pPr>
    </w:p>
    <w:p>
      <w:pPr>
        <w:adjustRightInd w:val="0"/>
        <w:snapToGrid w:val="0"/>
        <w:spacing w:line="570" w:lineRule="exact"/>
        <w:jc w:val="center"/>
        <w:rPr>
          <w:rFonts w:ascii="仿宋_GB2312" w:hAnsi="宋体" w:eastAsia="仿宋_GB2312" w:cs="黑体"/>
          <w:sz w:val="32"/>
          <w:szCs w:val="32"/>
        </w:rPr>
      </w:pPr>
      <w:r>
        <w:rPr>
          <w:rFonts w:hint="eastAsia" w:ascii="仿宋_GB2312" w:hAnsi="宋体" w:eastAsia="仿宋_GB2312" w:cs="黑体"/>
          <w:sz w:val="32"/>
          <w:szCs w:val="32"/>
        </w:rPr>
        <w:t>第六章  附  则</w:t>
      </w:r>
    </w:p>
    <w:p>
      <w:pPr>
        <w:adjustRightInd w:val="0"/>
        <w:snapToGrid w:val="0"/>
        <w:spacing w:line="570" w:lineRule="exact"/>
        <w:jc w:val="center"/>
        <w:rPr>
          <w:rFonts w:hint="eastAsia" w:ascii="仿宋_GB2312" w:hAnsi="宋体" w:eastAsia="仿宋_GB2312" w:cs="黑体"/>
          <w:sz w:val="32"/>
          <w:szCs w:val="32"/>
        </w:rPr>
      </w:pP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黑体" w:hAnsi="黑体" w:eastAsia="黑体" w:cs="仿宋_GB2312"/>
          <w:sz w:val="32"/>
          <w:szCs w:val="32"/>
        </w:rPr>
        <w:t>第十五条</w:t>
      </w:r>
      <w:r>
        <w:rPr>
          <w:rFonts w:hint="eastAsia" w:ascii="宋体" w:hAnsi="宋体" w:eastAsia="仿宋_GB2312" w:cs="仿宋_GB2312"/>
          <w:sz w:val="32"/>
          <w:szCs w:val="32"/>
        </w:rPr>
        <w:t xml:space="preserve">  </w:t>
      </w:r>
      <w:r>
        <w:rPr>
          <w:rFonts w:hint="eastAsia" w:ascii="仿宋_GB2312" w:hAnsi="宋体" w:eastAsia="仿宋_GB2312" w:cs="仿宋_GB2312"/>
          <w:sz w:val="32"/>
          <w:szCs w:val="32"/>
        </w:rPr>
        <w:t>本办法适用于实行间接费用管理的科研项目，由财务部门和科研管理部门在各自权责范围内负责解释。</w:t>
      </w:r>
    </w:p>
    <w:p>
      <w:pPr>
        <w:adjustRightInd w:val="0"/>
        <w:snapToGrid w:val="0"/>
        <w:spacing w:line="570" w:lineRule="exact"/>
        <w:ind w:firstLine="640" w:firstLineChars="200"/>
        <w:rPr>
          <w:rFonts w:ascii="仿宋_GB2312" w:hAnsi="宋体" w:eastAsia="仿宋_GB2312" w:cs="仿宋_GB2312"/>
          <w:sz w:val="32"/>
          <w:szCs w:val="32"/>
        </w:rPr>
      </w:pPr>
      <w:r>
        <w:rPr>
          <w:rFonts w:hint="eastAsia" w:ascii="黑体" w:hAnsi="黑体" w:eastAsia="黑体" w:cs="仿宋_GB2312"/>
          <w:sz w:val="32"/>
          <w:szCs w:val="32"/>
        </w:rPr>
        <w:t>第十六条</w:t>
      </w:r>
      <w:r>
        <w:rPr>
          <w:rFonts w:hint="eastAsia" w:ascii="宋体" w:hAnsi="宋体" w:eastAsia="仿宋_GB2312" w:cs="仿宋_GB2312"/>
          <w:sz w:val="32"/>
          <w:szCs w:val="32"/>
        </w:rPr>
        <w:t xml:space="preserve">  </w:t>
      </w:r>
      <w:r>
        <w:rPr>
          <w:rFonts w:hint="eastAsia" w:ascii="仿宋_GB2312" w:hAnsi="宋体" w:eastAsia="仿宋_GB2312" w:cs="仿宋_GB2312"/>
          <w:sz w:val="32"/>
          <w:szCs w:val="32"/>
        </w:rPr>
        <w:t>本办法自发布之日起实施。《暨南大学科研项目间接费用管理办法(试行)》(暨财</w:t>
      </w:r>
      <w:r>
        <w:rPr>
          <w:rFonts w:hint="eastAsia" w:ascii="仿宋" w:hAnsi="仿宋" w:eastAsia="仿宋" w:cs="仿宋_GB2312"/>
          <w:sz w:val="32"/>
          <w:szCs w:val="32"/>
        </w:rPr>
        <w:t>﹝</w:t>
      </w:r>
      <w:r>
        <w:rPr>
          <w:rFonts w:hint="eastAsia" w:ascii="仿宋_GB2312" w:hAnsi="宋体" w:eastAsia="仿宋_GB2312" w:cs="仿宋_GB2312"/>
          <w:sz w:val="32"/>
          <w:szCs w:val="32"/>
        </w:rPr>
        <w:t>2016</w:t>
      </w:r>
      <w:r>
        <w:rPr>
          <w:rFonts w:hint="eastAsia" w:ascii="仿宋" w:hAnsi="仿宋" w:eastAsia="仿宋" w:cs="仿宋_GB2312"/>
          <w:sz w:val="32"/>
          <w:szCs w:val="32"/>
        </w:rPr>
        <w:t>﹞</w:t>
      </w:r>
      <w:r>
        <w:rPr>
          <w:rFonts w:hint="eastAsia" w:ascii="仿宋_GB2312" w:hAnsi="宋体" w:eastAsia="仿宋_GB2312" w:cs="仿宋_GB2312"/>
          <w:sz w:val="32"/>
          <w:szCs w:val="32"/>
        </w:rPr>
        <w:t>3号)同时废止。</w:t>
      </w:r>
    </w:p>
    <w:p>
      <w:pPr>
        <w:rPr>
          <w:color w:val="000000"/>
          <w:sz w:val="24"/>
        </w:rPr>
      </w:pPr>
    </w:p>
    <w:p>
      <w:pPr>
        <w:adjustRightInd w:val="0"/>
        <w:snapToGrid w:val="0"/>
        <w:spacing w:line="560" w:lineRule="exact"/>
        <w:rPr>
          <w:rFonts w:hint="eastAsia" w:ascii="黑体" w:eastAsia="黑体"/>
          <w:b/>
        </w:rPr>
      </w:pPr>
    </w:p>
    <w:p>
      <w:pPr>
        <w:adjustRightInd w:val="0"/>
        <w:snapToGrid w:val="0"/>
        <w:spacing w:line="560" w:lineRule="exact"/>
        <w:rPr>
          <w:rFonts w:hint="eastAsia" w:ascii="黑体" w:eastAsia="黑体"/>
          <w:b/>
        </w:rPr>
      </w:pPr>
    </w:p>
    <w:p>
      <w:pPr>
        <w:adjustRightInd w:val="0"/>
        <w:snapToGrid w:val="0"/>
        <w:spacing w:line="560" w:lineRule="exact"/>
        <w:rPr>
          <w:rFonts w:hint="eastAsia" w:ascii="黑体" w:eastAsia="黑体"/>
          <w:b/>
        </w:rPr>
      </w:pPr>
    </w:p>
    <w:p>
      <w:pPr>
        <w:adjustRightInd w:val="0"/>
        <w:snapToGrid w:val="0"/>
        <w:spacing w:line="560" w:lineRule="exact"/>
        <w:rPr>
          <w:rFonts w:hint="eastAsia" w:ascii="黑体" w:eastAsia="黑体"/>
          <w:b/>
        </w:rPr>
      </w:pPr>
    </w:p>
    <w:p>
      <w:pPr>
        <w:tabs>
          <w:tab w:val="left" w:pos="1380"/>
        </w:tabs>
        <w:adjustRightInd w:val="0"/>
        <w:snapToGrid w:val="0"/>
        <w:spacing w:line="640" w:lineRule="exact"/>
        <w:rPr>
          <w:rFonts w:hint="eastAsia" w:ascii="黑体" w:eastAsia="黑体"/>
          <w:b/>
        </w:rPr>
      </w:pPr>
    </w:p>
    <w:p>
      <w:pPr>
        <w:adjustRightInd w:val="0"/>
        <w:snapToGrid w:val="0"/>
        <w:spacing w:line="640" w:lineRule="exact"/>
        <w:rPr>
          <w:rFonts w:hint="eastAsia" w:ascii="黑体" w:eastAsia="黑体"/>
          <w:b/>
        </w:rPr>
      </w:pPr>
    </w:p>
    <w:p>
      <w:pPr>
        <w:adjustRightInd w:val="0"/>
        <w:snapToGrid w:val="0"/>
        <w:spacing w:line="500" w:lineRule="exact"/>
        <w:ind w:right="318"/>
        <w:rPr>
          <w:rFonts w:hint="eastAsia"/>
        </w:rPr>
      </w:pPr>
      <w:r>
        <w:rPr>
          <w:rFonts w:hint="eastAsia" w:ascii="仿宋_GB2312" w:eastAsia="仿宋_GB2312"/>
          <w:sz w:val="28"/>
          <w:szCs w:val="28"/>
          <w:lang/>
        </w:rPr>
        <w:pict>
          <v:line id="_x0000_s1032" o:spid="_x0000_s1032" o:spt="20" style="position:absolute;left:0pt;margin-left:-0.4pt;margin-top:27.2pt;height:0pt;width:443pt;z-index:251661312;mso-width-relative:page;mso-height-relative:page;" filled="f" coordsize="21600,21600">
            <v:path arrowok="t"/>
            <v:fill on="f" focussize="0,0"/>
            <v:stroke/>
            <v:imagedata o:title=""/>
            <o:lock v:ext="edit"/>
          </v:line>
        </w:pict>
      </w:r>
      <w:r>
        <w:rPr>
          <w:rFonts w:hint="eastAsia" w:ascii="仿宋_GB2312" w:eastAsia="仿宋_GB2312"/>
          <w:sz w:val="28"/>
          <w:szCs w:val="28"/>
          <w:lang/>
        </w:rPr>
        <w:pict>
          <v:line id="_x0000_s1031" o:spid="_x0000_s1031" o:spt="20" style="position:absolute;left:0pt;margin-left:0.6pt;margin-top:3.35pt;height:0pt;width:443pt;z-index:251660288;mso-width-relative:page;mso-height-relative:page;" filled="f" coordsize="21600,21600">
            <v:path arrowok="t"/>
            <v:fill on="f" focussize="0,0"/>
            <v:stroke/>
            <v:imagedata o:title=""/>
            <o:lock v:ext="edit"/>
          </v:line>
        </w:pict>
      </w:r>
      <w:r>
        <w:rPr>
          <w:rFonts w:hint="eastAsia" w:ascii="仿宋_GB2312" w:eastAsia="仿宋_GB2312"/>
          <w:sz w:val="28"/>
          <w:szCs w:val="28"/>
        </w:rPr>
        <w:t xml:space="preserve">  暨南大学党政办公室       主动公开       2017年2月28日印发  </w:t>
      </w:r>
    </w:p>
    <w:sectPr>
      <w:pgSz w:w="11906" w:h="16838"/>
      <w:pgMar w:top="2098" w:right="1474" w:bottom="1871" w:left="1474" w:header="0"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小标宋">
    <w:altName w:val="微软雅黑"/>
    <w:panose1 w:val="03000509000000000000"/>
    <w:charset w:val="86"/>
    <w:family w:val="script"/>
    <w:pitch w:val="default"/>
    <w:sig w:usb0="00000000" w:usb1="080E0000" w:usb2="00000010" w:usb3="00000000" w:csb0="00040000" w:csb1="00000000"/>
  </w:font>
  <w:font w:name="方正大标宋简体">
    <w:altName w:val="宋体"/>
    <w:panose1 w:val="00000000000000000000"/>
    <w:charset w:val="86"/>
    <w:family w:val="auto"/>
    <w:pitch w:val="default"/>
    <w:sig w:usb0="00000000" w:usb1="00000000" w:usb2="00000000" w:usb3="00000000" w:csb0="00040000" w:csb1="00000000"/>
  </w:font>
  <w:font w:name="Meiryo">
    <w:panose1 w:val="020B0604030504040204"/>
    <w:charset w:val="80"/>
    <w:family w:val="swiss"/>
    <w:pitch w:val="default"/>
    <w:sig w:usb0="E10102FF" w:usb1="EAC7FFFF" w:usb2="00010012" w:usb3="00000000" w:csb0="6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54" w:right="454"/>
      <w:rPr>
        <w:rStyle w:val="6"/>
        <w:sz w:val="28"/>
        <w:szCs w:val="28"/>
      </w:rPr>
    </w:pPr>
    <w:r>
      <w:rPr>
        <w:rStyle w:val="6"/>
        <w:sz w:val="28"/>
        <w:szCs w:val="28"/>
      </w:rPr>
      <w:t>—</w:t>
    </w: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lang/>
      </w:rPr>
      <w:t>2</w:t>
    </w:r>
    <w:r>
      <w:rPr>
        <w:rStyle w:val="6"/>
        <w:sz w:val="28"/>
        <w:szCs w:val="28"/>
      </w:rPr>
      <w:fldChar w:fldCharType="end"/>
    </w:r>
    <w:r>
      <w:rPr>
        <w:rStyle w:val="6"/>
        <w:rFonts w:hint="eastAsia"/>
        <w:sz w:val="28"/>
        <w:szCs w:val="28"/>
      </w:rPr>
      <w:t xml:space="preserve"> </w:t>
    </w:r>
    <w:r>
      <w:rPr>
        <w:rStyle w:val="6"/>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3p0J3JuAK2PVpZ42BJ54saxFxQ0=" w:salt="dSvsrjtWRxqvwIGHbMA95w=="/>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AFC"/>
    <w:rsid w:val="00026524"/>
    <w:rsid w:val="00046DB3"/>
    <w:rsid w:val="0005760D"/>
    <w:rsid w:val="00065FF3"/>
    <w:rsid w:val="00077C80"/>
    <w:rsid w:val="0009167F"/>
    <w:rsid w:val="000A2F57"/>
    <w:rsid w:val="00101342"/>
    <w:rsid w:val="00122798"/>
    <w:rsid w:val="001352B5"/>
    <w:rsid w:val="001428D5"/>
    <w:rsid w:val="00173F1F"/>
    <w:rsid w:val="0017527C"/>
    <w:rsid w:val="001F2D7B"/>
    <w:rsid w:val="00211CCA"/>
    <w:rsid w:val="00272D35"/>
    <w:rsid w:val="002854A2"/>
    <w:rsid w:val="002921A7"/>
    <w:rsid w:val="002A2A77"/>
    <w:rsid w:val="002A7824"/>
    <w:rsid w:val="002B1DA8"/>
    <w:rsid w:val="002E339F"/>
    <w:rsid w:val="00331879"/>
    <w:rsid w:val="00333E9D"/>
    <w:rsid w:val="00335FC3"/>
    <w:rsid w:val="0034108E"/>
    <w:rsid w:val="00346011"/>
    <w:rsid w:val="003478E2"/>
    <w:rsid w:val="00347E2D"/>
    <w:rsid w:val="00363058"/>
    <w:rsid w:val="00376F19"/>
    <w:rsid w:val="0038692B"/>
    <w:rsid w:val="00395D78"/>
    <w:rsid w:val="003B524E"/>
    <w:rsid w:val="003E46CD"/>
    <w:rsid w:val="003E76EB"/>
    <w:rsid w:val="003E7E99"/>
    <w:rsid w:val="00466D42"/>
    <w:rsid w:val="004B2900"/>
    <w:rsid w:val="005160D5"/>
    <w:rsid w:val="0054517A"/>
    <w:rsid w:val="00594194"/>
    <w:rsid w:val="005C5FFF"/>
    <w:rsid w:val="005F4D9A"/>
    <w:rsid w:val="00663334"/>
    <w:rsid w:val="00666999"/>
    <w:rsid w:val="00673A17"/>
    <w:rsid w:val="006F3410"/>
    <w:rsid w:val="006F41F8"/>
    <w:rsid w:val="00702778"/>
    <w:rsid w:val="00721A89"/>
    <w:rsid w:val="00732389"/>
    <w:rsid w:val="00733940"/>
    <w:rsid w:val="007522DD"/>
    <w:rsid w:val="00777D23"/>
    <w:rsid w:val="00797D37"/>
    <w:rsid w:val="007B128C"/>
    <w:rsid w:val="008368F4"/>
    <w:rsid w:val="00900902"/>
    <w:rsid w:val="00922AD1"/>
    <w:rsid w:val="0093154B"/>
    <w:rsid w:val="009978BF"/>
    <w:rsid w:val="009A1B99"/>
    <w:rsid w:val="009E3F06"/>
    <w:rsid w:val="00A36C34"/>
    <w:rsid w:val="00A51BC3"/>
    <w:rsid w:val="00A800A1"/>
    <w:rsid w:val="00A81C76"/>
    <w:rsid w:val="00AE79D2"/>
    <w:rsid w:val="00AF521C"/>
    <w:rsid w:val="00B0030F"/>
    <w:rsid w:val="00B161B6"/>
    <w:rsid w:val="00B3083D"/>
    <w:rsid w:val="00B72CE4"/>
    <w:rsid w:val="00B80386"/>
    <w:rsid w:val="00B85AFC"/>
    <w:rsid w:val="00B87670"/>
    <w:rsid w:val="00B92386"/>
    <w:rsid w:val="00BD0A50"/>
    <w:rsid w:val="00BD28E2"/>
    <w:rsid w:val="00BD2C10"/>
    <w:rsid w:val="00BF3AAE"/>
    <w:rsid w:val="00C532F7"/>
    <w:rsid w:val="00C97253"/>
    <w:rsid w:val="00CA3A83"/>
    <w:rsid w:val="00CA6BA9"/>
    <w:rsid w:val="00CF42FA"/>
    <w:rsid w:val="00D0029C"/>
    <w:rsid w:val="00D21FA0"/>
    <w:rsid w:val="00D55B60"/>
    <w:rsid w:val="00D756B4"/>
    <w:rsid w:val="00D80471"/>
    <w:rsid w:val="00DD7F82"/>
    <w:rsid w:val="00E024A7"/>
    <w:rsid w:val="00E1444E"/>
    <w:rsid w:val="00E15ADA"/>
    <w:rsid w:val="00E41E8B"/>
    <w:rsid w:val="00E647F5"/>
    <w:rsid w:val="00EB4685"/>
    <w:rsid w:val="00EB75C6"/>
    <w:rsid w:val="00F07F45"/>
    <w:rsid w:val="00F40D6B"/>
    <w:rsid w:val="00F83560"/>
    <w:rsid w:val="00FB6D45"/>
    <w:rsid w:val="00FD63EA"/>
    <w:rsid w:val="00FE7F77"/>
    <w:rsid w:val="1C782300"/>
    <w:rsid w:val="564946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36"/>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neusoft</Company>
  <Pages>8</Pages>
  <Words>505</Words>
  <Characters>2880</Characters>
  <Lines>24</Lines>
  <Paragraphs>6</Paragraphs>
  <ScaleCrop>false</ScaleCrop>
  <LinksUpToDate>false</LinksUpToDate>
  <CharactersWithSpaces>3379</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2017-03-02T01:01:00Z</dcterms:created>
  <dc:creator>Administrator</dc:creator>
  <cp:lastModifiedBy>2016182</cp:lastModifiedBy>
  <dcterms:modified xsi:type="dcterms:W3CDTF">2017-09-13T10:21:20Z</dcterms:modified>
  <dc:title>暨 南 大 学 拟 文 稿 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